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AB" w:rsidRDefault="00D16EAB">
      <w:pPr>
        <w:rPr>
          <w:rFonts w:ascii="Arial" w:hAnsi="Arial" w:cs="Arial"/>
          <w:color w:val="444444"/>
        </w:rPr>
      </w:pPr>
      <w:r>
        <w:rPr>
          <w:color w:val="444444"/>
        </w:rPr>
        <w:t>Es ist nicht zu leugnen dass-It cannot be denied that</w:t>
      </w:r>
      <w:r>
        <w:rPr>
          <w:color w:val="444444"/>
        </w:rPr>
        <w:br/>
        <w:t>Vor allem - above all</w:t>
      </w:r>
      <w:r>
        <w:rPr>
          <w:color w:val="444444"/>
        </w:rPr>
        <w:br/>
        <w:t>Einerseits ... andererseits- on one hand on the other hand....</w:t>
      </w:r>
      <w:r>
        <w:rPr>
          <w:color w:val="444444"/>
        </w:rPr>
        <w:br/>
        <w:t>Nach eingehender Uberlegung bin ich zum Schluß gekommen dass- After thorough consideration I have come to the conclusion that...</w:t>
      </w:r>
    </w:p>
    <w:p w:rsidR="00D16EAB" w:rsidRDefault="00D16EAB">
      <w:pPr>
        <w:rPr>
          <w:color w:val="444444"/>
        </w:rPr>
      </w:pPr>
      <w:r>
        <w:rPr>
          <w:color w:val="444444"/>
        </w:rPr>
        <w:t>im Großen und Ganzen - on the whole</w:t>
      </w:r>
      <w:r>
        <w:rPr>
          <w:color w:val="444444"/>
        </w:rPr>
        <w:br/>
        <w:t>es war nicht klar ersichtlich ob... - it wasn't entirely clear whether</w:t>
      </w:r>
      <w:r>
        <w:rPr>
          <w:color w:val="444444"/>
        </w:rPr>
        <w:br/>
        <w:t>in jeglicher Hinsicht - in every respect</w:t>
      </w:r>
    </w:p>
    <w:p w:rsidR="00D16EAB" w:rsidRDefault="00D16EAB">
      <w:pPr>
        <w:rPr>
          <w:color w:val="444444"/>
        </w:rPr>
      </w:pPr>
      <w:r>
        <w:rPr>
          <w:color w:val="444444"/>
        </w:rPr>
        <w:t>Deshalb, darum, deswegen- verb=verb straight after- that is why, thus.</w:t>
      </w:r>
      <w:r>
        <w:rPr>
          <w:color w:val="444444"/>
        </w:rPr>
        <w:br/>
        <w:t>Weil.... obvious</w:t>
      </w:r>
      <w:r>
        <w:rPr>
          <w:color w:val="444444"/>
        </w:rPr>
        <w:br/>
        <w:t>Da, verb end, since</w:t>
      </w:r>
      <w:r>
        <w:rPr>
          <w:color w:val="444444"/>
        </w:rPr>
        <w:br/>
        <w:t>Denn, as verb second</w:t>
      </w:r>
      <w:r>
        <w:rPr>
          <w:color w:val="444444"/>
        </w:rPr>
        <w:br/>
        <w:t>wegen.... obvious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2"/>
      </w:tblGrid>
      <w:tr w:rsidR="00D16E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AB" w:rsidRDefault="00D16EAB">
            <w:pPr>
              <w:spacing w:after="0" w:line="240" w:lineRule="auto"/>
              <w:rPr>
                <w:color w:val="444444"/>
                <w:sz w:val="24"/>
                <w:szCs w:val="24"/>
                <w:lang w:eastAsia="en-GB"/>
              </w:rPr>
            </w:pPr>
            <w:r>
              <w:rPr>
                <w:color w:val="444444"/>
                <w:sz w:val="24"/>
                <w:szCs w:val="24"/>
                <w:lang w:eastAsia="en-GB"/>
              </w:rPr>
              <w:t>Ich bin davon uberzeugt, dass... - I am convinced, that</w:t>
            </w:r>
            <w:r>
              <w:rPr>
                <w:color w:val="444444"/>
                <w:sz w:val="24"/>
                <w:szCs w:val="24"/>
                <w:lang w:eastAsia="en-GB"/>
              </w:rPr>
              <w:br/>
              <w:t>Es gerat manchmal in Vergessenheit, dass... - it is sometimes forgotten, that</w:t>
            </w:r>
            <w:r>
              <w:rPr>
                <w:color w:val="444444"/>
                <w:sz w:val="24"/>
                <w:szCs w:val="24"/>
                <w:lang w:eastAsia="en-GB"/>
              </w:rPr>
              <w:br/>
              <w:t>Es ist oft behauptet/berichtet/gesagt worden - It has often been claimed/reported/said</w:t>
            </w:r>
            <w:r>
              <w:rPr>
                <w:color w:val="444444"/>
                <w:sz w:val="24"/>
                <w:szCs w:val="24"/>
                <w:lang w:eastAsia="en-GB"/>
              </w:rPr>
              <w:br/>
              <w:t>Niemand kann leugnen, dass... - nobody can deny, that</w:t>
            </w:r>
          </w:p>
        </w:tc>
      </w:tr>
      <w:tr w:rsidR="00D16E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AB" w:rsidRDefault="00D16EAB">
            <w:pPr>
              <w:spacing w:after="0" w:line="240" w:lineRule="auto"/>
              <w:jc w:val="center"/>
              <w:rPr>
                <w:color w:val="444444"/>
                <w:sz w:val="24"/>
                <w:szCs w:val="24"/>
                <w:lang w:eastAsia="en-GB"/>
              </w:rPr>
            </w:pPr>
          </w:p>
        </w:tc>
      </w:tr>
    </w:tbl>
    <w:p w:rsidR="00D16EAB" w:rsidRDefault="00D16EAB">
      <w:pPr>
        <w:rPr>
          <w:color w:val="444444"/>
        </w:rPr>
      </w:pPr>
      <w:r>
        <w:rPr>
          <w:color w:val="444444"/>
        </w:rPr>
        <w:t>Die Kehrseite der Medaille = the other side of the coin</w:t>
      </w:r>
    </w:p>
    <w:p w:rsidR="00D16EAB" w:rsidRDefault="00D16EAB">
      <w:pPr>
        <w:rPr>
          <w:rFonts w:ascii="Arial" w:hAnsi="Arial" w:cs="Arial"/>
          <w:color w:val="444444"/>
        </w:rPr>
      </w:pPr>
      <w:r>
        <w:rPr>
          <w:color w:val="444444"/>
        </w:rPr>
        <w:t>Ich möchte feststellen, ob ....  – I would like to determine whether</w:t>
      </w:r>
      <w:r>
        <w:rPr>
          <w:color w:val="444444"/>
        </w:rPr>
        <w:br/>
        <w:t>Ich bin fest überzeugt, dass... – I firmly believe</w:t>
      </w:r>
      <w:r>
        <w:rPr>
          <w:rFonts w:ascii="Arial" w:hAnsi="Arial" w:cs="Arial"/>
          <w:color w:val="444444"/>
        </w:rPr>
        <w:br/>
      </w:r>
      <w:r>
        <w:rPr>
          <w:color w:val="444444"/>
        </w:rPr>
        <w:t>Es fuhrt dazu, dass .. – it leads to</w:t>
      </w:r>
    </w:p>
    <w:p w:rsidR="00D16EAB" w:rsidRDefault="00D16EAB">
      <w:pPr>
        <w:rPr>
          <w:rFonts w:ascii="Arial" w:hAnsi="Arial" w:cs="Arial"/>
          <w:color w:val="444444"/>
        </w:rPr>
      </w:pPr>
      <w:r>
        <w:rPr>
          <w:color w:val="444444"/>
        </w:rPr>
        <w:t>Es ist leicht zu ersehen, dass... – it’s easy to see</w:t>
      </w:r>
      <w:r>
        <w:rPr>
          <w:rFonts w:ascii="Arial" w:hAnsi="Arial" w:cs="Arial"/>
          <w:color w:val="444444"/>
        </w:rPr>
        <w:br/>
      </w:r>
      <w:r>
        <w:rPr>
          <w:color w:val="444444"/>
        </w:rPr>
        <w:t>Das Auffallende dabei ist... – the striking thing here is</w:t>
      </w:r>
      <w:r>
        <w:rPr>
          <w:rFonts w:ascii="Arial" w:hAnsi="Arial" w:cs="Arial"/>
          <w:color w:val="444444"/>
        </w:rPr>
        <w:br/>
      </w:r>
      <w:r>
        <w:rPr>
          <w:color w:val="444444"/>
        </w:rPr>
        <w:t>Dazu kommt noch... – in addition there is</w:t>
      </w:r>
    </w:p>
    <w:tbl>
      <w:tblPr>
        <w:tblW w:w="5250" w:type="dxa"/>
        <w:tblCellSpacing w:w="0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625"/>
        <w:gridCol w:w="2625"/>
      </w:tblGrid>
      <w:tr w:rsidR="00D16EA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16EAB" w:rsidRDefault="00D16EAB">
            <w:pPr>
              <w:spacing w:before="100" w:beforeAutospacing="1" w:after="100" w:afterAutospacing="1" w:line="240" w:lineRule="auto"/>
              <w:jc w:val="center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German Subordinating Conjunctions</w:t>
            </w:r>
          </w:p>
        </w:tc>
      </w:tr>
      <w:tr w:rsidR="00D16EA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B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eastAsia="en-GB"/>
              </w:rPr>
            </w:pPr>
            <w:r>
              <w:rPr>
                <w:color w:val="CC0000"/>
                <w:sz w:val="15"/>
                <w:szCs w:val="15"/>
                <w:lang w:eastAsia="en-GB"/>
              </w:rPr>
              <w:t xml:space="preserve">  DEUTSCH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als</w:t>
            </w:r>
            <w:r>
              <w:rPr>
                <w:color w:val="CC0000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bevor</w:t>
            </w:r>
            <w:r>
              <w:rPr>
                <w:color w:val="CC0000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bis</w:t>
            </w:r>
            <w:r>
              <w:rPr>
                <w:color w:val="CC0000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da</w:t>
            </w:r>
            <w:r>
              <w:rPr>
                <w:color w:val="CC0000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damit</w:t>
            </w:r>
            <w:r>
              <w:rPr>
                <w:color w:val="CC0000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dass</w:t>
            </w:r>
            <w:r>
              <w:rPr>
                <w:color w:val="CC0000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ehe</w:t>
            </w:r>
            <w:r>
              <w:rPr>
                <w:color w:val="CC0000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falls</w:t>
            </w:r>
            <w:r>
              <w:rPr>
                <w:color w:val="CC0000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indem</w:t>
            </w:r>
            <w:r>
              <w:rPr>
                <w:color w:val="CC0000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nachdem</w:t>
            </w:r>
            <w:r>
              <w:rPr>
                <w:color w:val="CC0000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ob</w:t>
            </w:r>
            <w:r>
              <w:rPr>
                <w:color w:val="CC0000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obgleich</w:t>
            </w:r>
            <w:r>
              <w:rPr>
                <w:color w:val="CC0000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obschon</w:t>
            </w:r>
            <w:r>
              <w:rPr>
                <w:color w:val="CC0000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obwohl</w:t>
            </w:r>
            <w:r>
              <w:rPr>
                <w:color w:val="CC0000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seit</w:t>
            </w:r>
            <w:r>
              <w:rPr>
                <w:color w:val="CC0000"/>
                <w:sz w:val="15"/>
                <w:szCs w:val="15"/>
                <w:lang w:eastAsia="en-GB"/>
              </w:rPr>
              <w:t>/</w:t>
            </w: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seitdem</w:t>
            </w:r>
            <w:r>
              <w:rPr>
                <w:color w:val="CC0000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sobald</w:t>
            </w:r>
            <w:r>
              <w:rPr>
                <w:color w:val="CC0000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sodass</w:t>
            </w:r>
            <w:r>
              <w:rPr>
                <w:color w:val="CC0000"/>
                <w:sz w:val="15"/>
                <w:szCs w:val="15"/>
                <w:lang w:eastAsia="en-GB"/>
              </w:rPr>
              <w:t xml:space="preserve"> / </w:t>
            </w: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so dass</w:t>
            </w:r>
            <w:r>
              <w:rPr>
                <w:color w:val="CC0000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solang</w:t>
            </w:r>
            <w:r>
              <w:rPr>
                <w:color w:val="CC0000"/>
                <w:sz w:val="15"/>
                <w:szCs w:val="15"/>
                <w:lang w:eastAsia="en-GB"/>
              </w:rPr>
              <w:t>(</w:t>
            </w: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e</w:t>
            </w:r>
            <w:r>
              <w:rPr>
                <w:color w:val="CC0000"/>
                <w:sz w:val="15"/>
                <w:szCs w:val="15"/>
                <w:lang w:eastAsia="en-GB"/>
              </w:rPr>
              <w:t xml:space="preserve">)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trotzdem</w:t>
            </w:r>
            <w:r>
              <w:rPr>
                <w:color w:val="CC0000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während</w:t>
            </w:r>
            <w:r>
              <w:rPr>
                <w:color w:val="CC0000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weil</w:t>
            </w:r>
            <w:r>
              <w:rPr>
                <w:color w:val="CC0000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wenn</w:t>
            </w:r>
            <w:r>
              <w:rPr>
                <w:color w:val="CC0000"/>
                <w:sz w:val="15"/>
                <w:szCs w:val="15"/>
                <w:lang w:eastAsia="en-GB"/>
              </w:rPr>
              <w:t xml:space="preserve"> </w:t>
            </w:r>
            <w:r>
              <w:rPr>
                <w:color w:val="CC0000"/>
                <w:sz w:val="15"/>
                <w:szCs w:val="15"/>
                <w:lang w:eastAsia="en-GB"/>
              </w:rPr>
              <w:br/>
              <w:t> 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color w:val="333333"/>
                <w:sz w:val="15"/>
                <w:szCs w:val="15"/>
                <w:lang w:eastAsia="en-GB"/>
              </w:rPr>
              <w:t xml:space="preserve">  ENGLISH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as, when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before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until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as, since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(because)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so that, in order that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that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before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(re old Engl. "ere")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in case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while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after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whether, if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although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although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although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since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(time)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as soon as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so that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as</w:t>
            </w:r>
            <w:r>
              <w:rPr>
                <w:color w:val="333333"/>
                <w:sz w:val="15"/>
                <w:szCs w:val="15"/>
                <w:lang w:eastAsia="en-GB"/>
              </w:rPr>
              <w:t>/</w:t>
            </w: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so long as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despite the fact that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while, whereas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because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if, whenever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</w:tc>
      </w:tr>
    </w:tbl>
    <w:p w:rsidR="00D16EAB" w:rsidRDefault="00D16EA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D16EAB" w:rsidSect="00D16E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EAB"/>
    <w:rsid w:val="00D1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249</Words>
  <Characters>1424</Characters>
  <Application>Microsoft Office Outlook</Application>
  <DocSecurity>0</DocSecurity>
  <Lines>0</Lines>
  <Paragraphs>0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cober4901</dc:creator>
  <cp:keywords/>
  <dc:description/>
  <cp:lastModifiedBy>PC OPERATOR</cp:lastModifiedBy>
  <cp:revision>3</cp:revision>
  <dcterms:created xsi:type="dcterms:W3CDTF">2010-03-23T07:35:00Z</dcterms:created>
  <dcterms:modified xsi:type="dcterms:W3CDTF">2010-06-18T18:13:00Z</dcterms:modified>
</cp:coreProperties>
</file>